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3D0181">
        <w:t>21</w:t>
      </w:r>
      <w:r w:rsidR="000C7B53">
        <w:t xml:space="preserve"> мая 202</w:t>
      </w:r>
      <w:r w:rsidR="003D0181">
        <w:t>1</w:t>
      </w:r>
      <w:r w:rsidR="000C7B53">
        <w:t xml:space="preserve"> года № </w:t>
      </w:r>
      <w:r w:rsidR="008E715F">
        <w:t>29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первый квартал 202</w:t>
      </w:r>
      <w:r w:rsidR="003D018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первый квартал 202</w:t>
      </w:r>
      <w:r w:rsidR="003D018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A34EFD">
        <w:rPr>
          <w:rFonts w:ascii="Times New Roman CYR" w:hAnsi="Times New Roman CYR" w:cs="Times New Roman CYR"/>
        </w:rPr>
        <w:t>ал 202</w:t>
      </w:r>
      <w:r w:rsidR="003D0181">
        <w:rPr>
          <w:rFonts w:ascii="Times New Roman CYR" w:hAnsi="Times New Roman CYR" w:cs="Times New Roman CYR"/>
        </w:rPr>
        <w:t>1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Default="003D0181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</w:p>
    <w:p w:rsidR="003D0181" w:rsidRPr="00C1551C" w:rsidRDefault="003D0181" w:rsidP="003D0181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440879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440879"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D0181">
        <w:rPr>
          <w:rFonts w:ascii="Times New Roman CYR" w:hAnsi="Times New Roman CYR" w:cs="Times New Roman CYR"/>
          <w:sz w:val="24"/>
          <w:szCs w:val="24"/>
        </w:rPr>
        <w:t>21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мая 202</w:t>
      </w:r>
      <w:r w:rsidR="003D0181">
        <w:rPr>
          <w:rFonts w:ascii="Times New Roman CYR" w:hAnsi="Times New Roman CYR" w:cs="Times New Roman CYR"/>
          <w:sz w:val="24"/>
          <w:szCs w:val="24"/>
        </w:rPr>
        <w:t>1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 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5271F9">
        <w:rPr>
          <w:rFonts w:ascii="Times New Roman CYR" w:hAnsi="Times New Roman CYR" w:cs="Times New Roman CYR"/>
          <w:sz w:val="24"/>
          <w:szCs w:val="24"/>
        </w:rPr>
        <w:t>29</w:t>
      </w:r>
    </w:p>
    <w:p w:rsidR="00440879" w:rsidRP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Look w:val="04A0"/>
      </w:tblPr>
      <w:tblGrid>
        <w:gridCol w:w="1919"/>
        <w:gridCol w:w="1400"/>
        <w:gridCol w:w="1177"/>
        <w:gridCol w:w="1035"/>
        <w:gridCol w:w="1103"/>
        <w:gridCol w:w="1035"/>
        <w:gridCol w:w="1082"/>
        <w:gridCol w:w="1103"/>
      </w:tblGrid>
      <w:tr w:rsidR="003D0181" w:rsidRPr="003D0181" w:rsidTr="003D0181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68"/>
            <w:r w:rsidRPr="003D0181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квартал 2021 года</w:t>
            </w:r>
            <w:bookmarkEnd w:id="0"/>
          </w:p>
        </w:tc>
      </w:tr>
      <w:tr w:rsidR="003D0181" w:rsidRPr="003D0181" w:rsidTr="003D0181">
        <w:trPr>
          <w:trHeight w:val="1560"/>
        </w:trPr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Уточненный план на 2021 год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% исполнения за 1 квартал 2021 года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Исполнено  за 1 квартал 2020 года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отклонение (факт 2021-2020)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%              роста исполнения 2021 к 2020 году</w:t>
            </w:r>
          </w:p>
        </w:tc>
      </w:tr>
      <w:tr w:rsidR="003D0181" w:rsidRPr="003D0181" w:rsidTr="003D0181">
        <w:trPr>
          <w:trHeight w:val="36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200 335,9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19 773,2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24 139,0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-4 365,8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81,9</w:t>
            </w:r>
          </w:p>
        </w:tc>
      </w:tr>
      <w:tr w:rsidR="003D0181" w:rsidRPr="003D0181" w:rsidTr="003D0181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66 080,9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11 477,9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12 501,4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-1 023,5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91,8</w:t>
            </w:r>
          </w:p>
        </w:tc>
      </w:tr>
      <w:tr w:rsidR="003D0181" w:rsidRPr="003D0181" w:rsidTr="003D0181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66 080,9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11 477,9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12 501,4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-1 023,5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91,8</w:t>
            </w:r>
          </w:p>
        </w:tc>
      </w:tr>
      <w:tr w:rsidR="003D0181" w:rsidRPr="003D0181" w:rsidTr="003D0181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2 522,5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565,6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542,1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</w:tr>
      <w:tr w:rsidR="003D0181" w:rsidRPr="003D0181" w:rsidTr="003D0181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2 522,5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565,6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542,1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104,3</w:t>
            </w:r>
          </w:p>
        </w:tc>
      </w:tr>
      <w:tr w:rsidR="003D0181" w:rsidRPr="003D0181" w:rsidTr="003D0181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29 382,4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4 805,3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6 334,7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-1 529,4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75,9</w:t>
            </w:r>
          </w:p>
        </w:tc>
      </w:tr>
      <w:tr w:rsidR="003D0181" w:rsidRPr="003D0181" w:rsidTr="003D0181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10 631,9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467,1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519,5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-52,4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89,9</w:t>
            </w:r>
          </w:p>
        </w:tc>
      </w:tr>
      <w:tr w:rsidR="003D0181" w:rsidRPr="003D0181" w:rsidTr="003D0181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18 750,5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4 338,2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5 815,2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-1 477,0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74,6</w:t>
            </w:r>
          </w:p>
        </w:tc>
      </w:tr>
      <w:tr w:rsidR="003D0181" w:rsidRPr="003D0181" w:rsidTr="003D0181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13 519,1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3 797,2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5 462,2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-1 665,0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69,5</w:t>
            </w:r>
          </w:p>
        </w:tc>
      </w:tr>
      <w:tr w:rsidR="003D0181" w:rsidRPr="003D0181" w:rsidTr="003D0181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5 231,4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541,0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353,0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188,0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153,3</w:t>
            </w:r>
          </w:p>
        </w:tc>
      </w:tr>
      <w:tr w:rsidR="003D0181" w:rsidRPr="003D0181" w:rsidTr="003D0181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4 835,2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873,5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1 392,8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-519,3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62,7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302,8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12,1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645,7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-342,9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46,9</w:t>
            </w:r>
          </w:p>
        </w:tc>
      </w:tr>
      <w:tr w:rsidR="003D0181" w:rsidRPr="003D0181" w:rsidTr="003D0181">
        <w:trPr>
          <w:trHeight w:val="37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2 335,2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570,7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24,4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747,1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-176,4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76,4</w:t>
            </w:r>
          </w:p>
        </w:tc>
      </w:tr>
      <w:tr w:rsidR="003D0181" w:rsidRPr="003D0181" w:rsidTr="003D0181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ОКАЗАНИЯ ПЛАТНЫХ УСЛУГ И </w:t>
            </w: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1 13 00000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168,7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171,4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98,4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lastRenderedPageBreak/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168,7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98,4</w:t>
            </w:r>
          </w:p>
        </w:tc>
      </w:tr>
      <w:tr w:rsidR="003D0181" w:rsidRPr="003D0181" w:rsidTr="003D0181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93 986,6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537,1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153,0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384,1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351,0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108,5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153,0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-44,5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70,9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93 986,6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428,6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428,6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3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3 188,3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1 345,1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3 038,5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-1 693,4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44,3</w:t>
            </w:r>
          </w:p>
        </w:tc>
      </w:tr>
      <w:tr w:rsidR="003D0181" w:rsidRPr="003D0181" w:rsidTr="003D0181">
        <w:trPr>
          <w:trHeight w:val="85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3 188,3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1 345,1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i/>
                <w:iCs/>
                <w:sz w:val="20"/>
                <w:szCs w:val="20"/>
              </w:rPr>
            </w:pPr>
            <w:r w:rsidRPr="003D0181">
              <w:rPr>
                <w:i/>
                <w:iCs/>
                <w:sz w:val="20"/>
                <w:szCs w:val="20"/>
              </w:rPr>
              <w:t>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3 038,5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-1 693,4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44,3</w:t>
            </w:r>
          </w:p>
        </w:tc>
      </w:tr>
      <w:tr w:rsidR="003D0181" w:rsidRPr="003D0181" w:rsidTr="003D0181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4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20 620,2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725,8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320,8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226,2</w:t>
            </w:r>
          </w:p>
        </w:tc>
      </w:tr>
      <w:tr w:rsidR="003D0181" w:rsidRPr="003D0181" w:rsidTr="003D0181">
        <w:trPr>
          <w:trHeight w:val="58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20 620,2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725,8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406,0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319,8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178,8</w:t>
            </w:r>
          </w:p>
        </w:tc>
      </w:tr>
      <w:tr w:rsidR="003D0181" w:rsidRPr="003D0181" w:rsidTr="003D0181">
        <w:trPr>
          <w:trHeight w:val="52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81" w:rsidRPr="003D0181" w:rsidRDefault="003D0181" w:rsidP="003D0181">
            <w:pPr>
              <w:rPr>
                <w:b/>
                <w:bCs/>
                <w:sz w:val="22"/>
                <w:szCs w:val="22"/>
              </w:rPr>
            </w:pPr>
            <w:r w:rsidRPr="003D0181">
              <w:rPr>
                <w:b/>
                <w:bCs/>
                <w:sz w:val="22"/>
                <w:szCs w:val="22"/>
              </w:rPr>
              <w:t xml:space="preserve">Дотации бюджетам городских поселений на </w:t>
            </w:r>
            <w:r w:rsidRPr="003D0181">
              <w:rPr>
                <w:b/>
                <w:bCs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lastRenderedPageBreak/>
              <w:t>202  16001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2 903,3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725,8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319,8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178,8</w:t>
            </w:r>
          </w:p>
        </w:tc>
      </w:tr>
      <w:tr w:rsidR="003D0181" w:rsidRPr="003D0181" w:rsidTr="003D0181">
        <w:trPr>
          <w:trHeight w:val="40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17 716,9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4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15 329,6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2 387,3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D0181" w:rsidRPr="003D0181" w:rsidTr="003D0181">
        <w:trPr>
          <w:trHeight w:val="6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-85,2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18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31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220 956,1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20 499,0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24 459,8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-3 960,8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83,8</w:t>
            </w:r>
          </w:p>
        </w:tc>
      </w:tr>
      <w:tr w:rsidR="003D0181" w:rsidRPr="003D0181" w:rsidTr="003D0181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D0181" w:rsidRPr="003D0181" w:rsidRDefault="003D0181" w:rsidP="003D0181">
            <w:pPr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 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15 122,4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2 861,4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1 217,5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1 643,9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235,0</w:t>
            </w:r>
          </w:p>
        </w:tc>
      </w:tr>
      <w:tr w:rsidR="003D0181" w:rsidRPr="003D0181" w:rsidTr="003D0181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686,0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24,8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1 895,5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430,2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362,0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118,8</w:t>
            </w:r>
          </w:p>
        </w:tc>
      </w:tr>
      <w:tr w:rsidR="003D0181" w:rsidRPr="003D0181" w:rsidTr="003D0181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101,7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10 511,6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2 231,7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21,2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826,7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1 405,0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270,0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3 829,5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156,7</w:t>
            </w:r>
          </w:p>
        </w:tc>
      </w:tr>
      <w:tr w:rsidR="003D0181" w:rsidRPr="003D0181" w:rsidTr="003D0181">
        <w:trPr>
          <w:trHeight w:val="36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0309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2 902,0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223,3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142,5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80,8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156,7</w:t>
            </w:r>
          </w:p>
        </w:tc>
      </w:tr>
      <w:tr w:rsidR="003D0181" w:rsidRPr="003D0181" w:rsidTr="003D0181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927,5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17 200,9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870,5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932,1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-61,6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93,4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15 940,9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870,5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929,3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-58,8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93,7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1 260,0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-2,8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192 973,1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13 030,2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20 562,1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-7 531,9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5 795,0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817,3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1 387,5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-570,2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58,9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96 676,5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622,8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1 461,9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-839,1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42,6</w:t>
            </w:r>
          </w:p>
        </w:tc>
      </w:tr>
      <w:tr w:rsidR="003D0181" w:rsidRPr="003D0181" w:rsidTr="003D0181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90 501,6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11 590,1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17 712,7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-6 122,6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65,4</w:t>
            </w:r>
          </w:p>
        </w:tc>
      </w:tr>
      <w:tr w:rsidR="003D0181" w:rsidRPr="003D0181" w:rsidTr="003D0181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692,4</w:t>
            </w:r>
          </w:p>
        </w:tc>
      </w:tr>
      <w:tr w:rsidR="003D0181" w:rsidRPr="003D0181" w:rsidTr="003D0181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45,7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692,4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2 117,0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473,4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806,4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-333,0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58,7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2 050,0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473,4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806,4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-333,0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58,7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1 086,6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175,6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138,6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67,3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63,4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106,2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108,3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63,3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45,0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171,1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-64,8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1 050,0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80,1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-64,8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19,1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</w:t>
            </w:r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1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233 616,5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17 695,4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23 874,0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-6 178,6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81">
              <w:rPr>
                <w:b/>
                <w:bCs/>
                <w:sz w:val="20"/>
                <w:szCs w:val="20"/>
              </w:rPr>
              <w:t>74,1</w:t>
            </w:r>
          </w:p>
        </w:tc>
      </w:tr>
      <w:tr w:rsidR="003D0181" w:rsidRPr="003D0181" w:rsidTr="003D0181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color w:val="000000"/>
                <w:sz w:val="20"/>
                <w:szCs w:val="20"/>
              </w:rPr>
            </w:pPr>
            <w:r w:rsidRPr="003D01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-12 831,5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2 803,6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proofErr w:type="spellStart"/>
            <w:r w:rsidRPr="003D018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r w:rsidRPr="003D0181">
              <w:rPr>
                <w:sz w:val="20"/>
                <w:szCs w:val="20"/>
              </w:rPr>
              <w:t>585,8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proofErr w:type="spellStart"/>
            <w:r w:rsidRPr="003D018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  <w:proofErr w:type="spellStart"/>
            <w:r w:rsidRPr="003D018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D0181" w:rsidRPr="003D0181" w:rsidTr="003D0181">
        <w:trPr>
          <w:trHeight w:val="25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181" w:rsidRPr="003D0181" w:rsidTr="003D0181">
        <w:trPr>
          <w:trHeight w:val="52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81" w:rsidRPr="003D0181" w:rsidRDefault="003D0181" w:rsidP="003D01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81" w:rsidRPr="003D0181" w:rsidRDefault="003D0181" w:rsidP="003D01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D0181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181" w:rsidRDefault="003D0181">
      <w:pPr>
        <w:spacing w:before="120" w:after="120"/>
        <w:ind w:firstLine="709"/>
        <w:jc w:val="both"/>
      </w:pPr>
      <w:r>
        <w:br w:type="page"/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3D0181" w:rsidRPr="00CD4F90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D0181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0181" w:rsidRPr="00E55115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3D0181" w:rsidRPr="00E36125" w:rsidTr="003D0181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3D0181" w:rsidRPr="00E36125" w:rsidTr="003D0181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6125" w:rsidRDefault="003D0181" w:rsidP="00A342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181" w:rsidRPr="00E36125" w:rsidTr="003D0181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A342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A342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A3423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203D" w:rsidRDefault="003D0181" w:rsidP="00A3423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3D0181" w:rsidRPr="00D57407" w:rsidTr="003D0181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5545E4" w:rsidRDefault="003D0181" w:rsidP="00A3423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242846" w:rsidRDefault="003D0181" w:rsidP="00A3423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3D0181" w:rsidRPr="00E55115" w:rsidRDefault="003D0181" w:rsidP="003D01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181" w:rsidRPr="00E55115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3D0181" w:rsidRPr="008A4902" w:rsidTr="003D0181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  <w:r w:rsidRPr="008A4902">
              <w:t>6</w:t>
            </w: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3F65F8" w:rsidRDefault="003D0181" w:rsidP="00A34234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  <w:jc w:val="center"/>
            </w:pP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A34234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  <w:jc w:val="center"/>
            </w:pPr>
          </w:p>
        </w:tc>
      </w:tr>
      <w:tr w:rsidR="003D0181" w:rsidRPr="00D57407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A34234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Default="003D0181" w:rsidP="00A34234">
            <w:pPr>
              <w:snapToGrid w:val="0"/>
              <w:jc w:val="center"/>
              <w:rPr>
                <w:b/>
              </w:rPr>
            </w:pPr>
          </w:p>
        </w:tc>
      </w:tr>
    </w:tbl>
    <w:p w:rsidR="003D0181" w:rsidRDefault="003D0181" w:rsidP="003D018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0181" w:rsidRDefault="003D0181" w:rsidP="003D018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08F5" w:rsidRDefault="00C708F5" w:rsidP="003D0181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sectPr w:rsidR="00C708F5" w:rsidSect="00943D76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ED" w:rsidRDefault="005E15ED" w:rsidP="00603A8D">
      <w:r>
        <w:separator/>
      </w:r>
    </w:p>
  </w:endnote>
  <w:endnote w:type="continuationSeparator" w:id="0">
    <w:p w:rsidR="005E15ED" w:rsidRDefault="005E15ED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ED" w:rsidRDefault="005E15ED" w:rsidP="00603A8D">
      <w:r>
        <w:separator/>
      </w:r>
    </w:p>
  </w:footnote>
  <w:footnote w:type="continuationSeparator" w:id="0">
    <w:p w:rsidR="005E15ED" w:rsidRDefault="005E15ED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603A8D" w:rsidP="003D018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71F4"/>
    <w:rsid w:val="002C55B9"/>
    <w:rsid w:val="002E23C4"/>
    <w:rsid w:val="002E4F64"/>
    <w:rsid w:val="003109EC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271F9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15ED"/>
    <w:rsid w:val="005E7E6E"/>
    <w:rsid w:val="005F20BE"/>
    <w:rsid w:val="005F2333"/>
    <w:rsid w:val="005F46C7"/>
    <w:rsid w:val="00603A8D"/>
    <w:rsid w:val="00660684"/>
    <w:rsid w:val="00673ED3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5DFC"/>
    <w:rsid w:val="007C763B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D4F99"/>
    <w:rsid w:val="008E715F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AC4B91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19</cp:revision>
  <cp:lastPrinted>2019-05-20T06:50:00Z</cp:lastPrinted>
  <dcterms:created xsi:type="dcterms:W3CDTF">2018-05-04T05:19:00Z</dcterms:created>
  <dcterms:modified xsi:type="dcterms:W3CDTF">2021-05-24T11:48:00Z</dcterms:modified>
</cp:coreProperties>
</file>